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C05A" w14:textId="05AAEC5A" w:rsidR="00CD45CD" w:rsidRPr="00CD45CD" w:rsidRDefault="00CD45CD" w:rsidP="00CD45CD">
      <w:pPr>
        <w:pStyle w:val="OZNPROJEKTUwskazaniedatylubwersjiprojektu"/>
        <w:rPr>
          <w:rFonts w:cs="Times New Roman"/>
          <w:b/>
          <w:bCs/>
          <w:i/>
          <w:iCs/>
          <w:u w:val="none"/>
        </w:rPr>
      </w:pPr>
      <w:r w:rsidRPr="00CD45CD">
        <w:rPr>
          <w:rFonts w:cs="Times New Roman"/>
          <w:b/>
          <w:bCs/>
          <w:i/>
          <w:iCs/>
          <w:u w:val="none"/>
        </w:rPr>
        <w:t>PROJEKT</w:t>
      </w:r>
    </w:p>
    <w:p w14:paraId="1A581E72" w14:textId="77777777" w:rsidR="00CD45CD" w:rsidRDefault="00CD45CD" w:rsidP="00CD45CD">
      <w:pPr>
        <w:pStyle w:val="OZNRODZAKTUtznustawalubrozporzdzenieiorganwydajcy"/>
        <w:spacing w:after="0"/>
        <w:rPr>
          <w:rFonts w:ascii="Times New Roman" w:hAnsi="Times New Roman"/>
        </w:rPr>
      </w:pPr>
    </w:p>
    <w:p w14:paraId="32C2F890" w14:textId="5D4AD19B" w:rsidR="00CD45CD" w:rsidRPr="00CD45CD" w:rsidRDefault="00CD45CD" w:rsidP="00CD45CD">
      <w:pPr>
        <w:pStyle w:val="OZNRODZAKTUtznustawalubrozporzdzenieiorganwydajcy"/>
        <w:spacing w:after="0"/>
        <w:rPr>
          <w:rFonts w:ascii="Times New Roman" w:hAnsi="Times New Roman"/>
        </w:rPr>
      </w:pPr>
      <w:r w:rsidRPr="00CD45CD">
        <w:rPr>
          <w:rFonts w:ascii="Times New Roman" w:hAnsi="Times New Roman"/>
        </w:rPr>
        <w:t>USTAWA</w:t>
      </w:r>
    </w:p>
    <w:p w14:paraId="7CC68B2B" w14:textId="6E3EB8E0" w:rsidR="00CD45CD" w:rsidRPr="00CD45CD" w:rsidRDefault="00CD45CD" w:rsidP="00CD45CD">
      <w:pPr>
        <w:pStyle w:val="DATAAKTUdatauchwalenialubwydaniaaktu"/>
        <w:spacing w:before="0" w:after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z dnia …</w:t>
      </w:r>
      <w:r>
        <w:rPr>
          <w:rFonts w:ascii="Times New Roman" w:hAnsi="Times New Roman" w:cs="Times New Roman"/>
        </w:rPr>
        <w:t>………….. 2024</w:t>
      </w:r>
      <w:r w:rsidRPr="00CD45CD">
        <w:rPr>
          <w:rFonts w:ascii="Times New Roman" w:hAnsi="Times New Roman" w:cs="Times New Roman"/>
        </w:rPr>
        <w:t xml:space="preserve"> </w:t>
      </w:r>
    </w:p>
    <w:p w14:paraId="67D5EF2C" w14:textId="0D8DCC84" w:rsidR="00CD45CD" w:rsidRDefault="00CD45CD" w:rsidP="00CD45CD">
      <w:pPr>
        <w:pStyle w:val="TYTUAKTUprzedmiotregulacjiustawylubrozporzdzenia"/>
        <w:spacing w:before="0" w:after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 xml:space="preserve">o zmianie ustawy o gospodarowaniu nieruchomościami rolnymi Skarbu Państwa oraz ustawy o wstrzymaniu sprzedaży nieruchomości Zasobu Własności Rolnej Skarbu Państwa </w:t>
      </w:r>
    </w:p>
    <w:p w14:paraId="06CA45A0" w14:textId="77777777" w:rsidR="00CD45CD" w:rsidRPr="00CD45CD" w:rsidRDefault="00CD45CD" w:rsidP="00CD45CD">
      <w:pPr>
        <w:pStyle w:val="ARTartustawynprozporzdzenia"/>
      </w:pPr>
    </w:p>
    <w:p w14:paraId="1545633F" w14:textId="77777777" w:rsidR="00CD45CD" w:rsidRPr="00CD45CD" w:rsidRDefault="00CD45CD" w:rsidP="00CD45CD">
      <w:pPr>
        <w:pStyle w:val="ARTartustawynprozporzdzenia"/>
        <w:spacing w:before="0"/>
        <w:rPr>
          <w:rFonts w:ascii="Times New Roman" w:hAnsi="Times New Roman" w:cs="Times New Roman"/>
        </w:rPr>
      </w:pPr>
      <w:r w:rsidRPr="00CD45CD">
        <w:rPr>
          <w:rStyle w:val="Ppogrubienie"/>
          <w:rFonts w:ascii="Times New Roman" w:hAnsi="Times New Roman" w:cs="Times New Roman"/>
        </w:rPr>
        <w:t>Art. 1.</w:t>
      </w:r>
      <w:r w:rsidRPr="00CD45CD">
        <w:rPr>
          <w:rFonts w:ascii="Times New Roman" w:hAnsi="Times New Roman" w:cs="Times New Roman"/>
        </w:rPr>
        <w:tab/>
        <w:t>W ustawie z dnia 19 października 1991 r. o gospodarowaniu nieruchomościami rolnymi Skarbu Państwa (Dz. U. z 2024 r. poz. 589) wprowadza się następujące zmiany:</w:t>
      </w:r>
    </w:p>
    <w:p w14:paraId="21FD2FD2" w14:textId="77777777" w:rsidR="00CD45CD" w:rsidRPr="00CD45CD" w:rsidRDefault="00CD45CD" w:rsidP="00CD45CD">
      <w:pPr>
        <w:pStyle w:val="PKTpunkt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1)</w:t>
      </w:r>
      <w:r w:rsidRPr="00CD45CD">
        <w:rPr>
          <w:rFonts w:ascii="Times New Roman" w:hAnsi="Times New Roman" w:cs="Times New Roman"/>
        </w:rPr>
        <w:tab/>
        <w:t>w art. 24 w ust. 13 wprowadzenie do wyliczenia otrzymuje brzmienie:</w:t>
      </w:r>
    </w:p>
    <w:p w14:paraId="09204D28" w14:textId="77777777" w:rsidR="00CD45CD" w:rsidRPr="00CD45CD" w:rsidRDefault="00CD45CD" w:rsidP="00CD45CD">
      <w:pPr>
        <w:pStyle w:val="ZFRAGzmfragmentunpzdaniaartykuempunktem"/>
        <w:rPr>
          <w:rFonts w:cs="Times New Roman"/>
        </w:rPr>
      </w:pPr>
      <w:r w:rsidRPr="00CD45CD">
        <w:rPr>
          <w:rFonts w:cs="Times New Roman"/>
        </w:rPr>
        <w:t xml:space="preserve">„Wsparcie, o którym mowa w ust. 10, udzielane podmiotom prowadzącym działalność gospodarczą lub podmiotom prowadzącym działalność wytwórczą w rolnictwie, ma charakter pomocy </w:t>
      </w:r>
      <w:r w:rsidRPr="00CD45CD">
        <w:rPr>
          <w:rStyle w:val="Kkursywa"/>
          <w:rFonts w:cs="Times New Roman"/>
        </w:rPr>
        <w:t>de minimis</w:t>
      </w:r>
      <w:r w:rsidRPr="00CD45CD">
        <w:rPr>
          <w:rFonts w:cs="Times New Roman"/>
        </w:rPr>
        <w:t xml:space="preserve"> i jest udzielane zgodnie z przepisami rozporządzenia Komisji (UE) 2023/2831 z dnia 13 grudnia 2023 r. w sprawie stosowania art. 107 i 108 Traktatu o funkcjonowaniu Unii Europejskiej do pomocy </w:t>
      </w:r>
      <w:r w:rsidRPr="00CD45CD">
        <w:rPr>
          <w:rStyle w:val="Kkursywa"/>
          <w:rFonts w:cs="Times New Roman"/>
        </w:rPr>
        <w:t>de minimis</w:t>
      </w:r>
      <w:r w:rsidRPr="00CD45CD">
        <w:rPr>
          <w:rFonts w:cs="Times New Roman"/>
        </w:rPr>
        <w:t xml:space="preserve"> (Dz. Urz. UE L 2023/2831 z 15.12.2023) lub rozporządzenia Komisji (UE) nr 1408/2013 z dnia 18 grudnia 2013 r. w sprawie stosowania art. 107 i 108 Traktatu o funkcjonowaniu Unii Europejskiej do pomocy </w:t>
      </w:r>
      <w:r w:rsidRPr="00CD45CD">
        <w:rPr>
          <w:rStyle w:val="Kkursywa"/>
          <w:rFonts w:cs="Times New Roman"/>
        </w:rPr>
        <w:t>de minimis</w:t>
      </w:r>
      <w:r w:rsidRPr="00CD45CD">
        <w:rPr>
          <w:rFonts w:cs="Times New Roman"/>
        </w:rPr>
        <w:t xml:space="preserve"> w sektorze rolnym (Dz. Urz. UE L 352 z 24.12.2013, str. 9, z późn. zm.</w:t>
      </w:r>
      <w:r w:rsidRPr="00CD45CD">
        <w:rPr>
          <w:rStyle w:val="Odwoanieprzypisudolnego"/>
        </w:rPr>
        <w:footnoteReference w:id="1"/>
      </w:r>
      <w:r w:rsidRPr="00CD45CD">
        <w:rPr>
          <w:rStyle w:val="IGindeksgrny"/>
          <w:rFonts w:cs="Times New Roman"/>
        </w:rPr>
        <w:t>)</w:t>
      </w:r>
      <w:r w:rsidRPr="00CD45CD">
        <w:rPr>
          <w:rFonts w:cs="Times New Roman"/>
        </w:rPr>
        <w:t>), jeżeli podmiot ubiegający się o to wsparcie, wraz z wnioskiem o jego udzielenie, przedstawi:”;</w:t>
      </w:r>
    </w:p>
    <w:p w14:paraId="373C9E0C" w14:textId="77777777" w:rsidR="00CD45CD" w:rsidRPr="00CD45CD" w:rsidRDefault="00CD45CD" w:rsidP="00CD45CD">
      <w:pPr>
        <w:pStyle w:val="PKTpunkt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2)</w:t>
      </w:r>
      <w:r w:rsidRPr="00CD45CD">
        <w:rPr>
          <w:rFonts w:ascii="Times New Roman" w:hAnsi="Times New Roman" w:cs="Times New Roman"/>
        </w:rPr>
        <w:tab/>
        <w:t>w art. 30 ust. 4a otrzymuje brzmienie:</w:t>
      </w:r>
    </w:p>
    <w:p w14:paraId="2B87F3C6" w14:textId="77777777" w:rsidR="00CD45CD" w:rsidRDefault="00CD45CD" w:rsidP="00CD45CD">
      <w:pPr>
        <w:pStyle w:val="ZUSTzmustartykuempunktem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 xml:space="preserve">„4a. Obniżenie ceny sprzedaży nieruchomości wpisanej do rejestru zabytków stanowi pomoc </w:t>
      </w:r>
      <w:r w:rsidRPr="00CD45CD">
        <w:rPr>
          <w:rStyle w:val="Kkursywa"/>
          <w:rFonts w:ascii="Times New Roman" w:hAnsi="Times New Roman" w:cs="Times New Roman"/>
        </w:rPr>
        <w:t>de minimis</w:t>
      </w:r>
      <w:r w:rsidRPr="00CD45CD">
        <w:rPr>
          <w:rFonts w:ascii="Times New Roman" w:hAnsi="Times New Roman" w:cs="Times New Roman"/>
        </w:rPr>
        <w:t xml:space="preserve">, o której mowa w rozporządzeniu Komisji (UE) 2023/2831 z dnia 13 grudnia 2023 r. w sprawie stosowania art. 107 i 108 Traktatu o funkcjonowaniu Unii Europejskiej do pomocy </w:t>
      </w:r>
      <w:r w:rsidRPr="00CD45CD">
        <w:rPr>
          <w:rStyle w:val="Kkursywa"/>
          <w:rFonts w:ascii="Times New Roman" w:hAnsi="Times New Roman" w:cs="Times New Roman"/>
        </w:rPr>
        <w:t>de minimis</w:t>
      </w:r>
      <w:r w:rsidRPr="00CD45CD">
        <w:rPr>
          <w:rFonts w:ascii="Times New Roman" w:hAnsi="Times New Roman" w:cs="Times New Roman"/>
        </w:rPr>
        <w:t xml:space="preserve"> (Dz. Urz. UE L 2023/2831 z 15.12.2023).”.</w:t>
      </w:r>
    </w:p>
    <w:p w14:paraId="0C030159" w14:textId="77777777" w:rsidR="00CD45CD" w:rsidRPr="00CD45CD" w:rsidRDefault="00CD45CD" w:rsidP="00CD45CD">
      <w:pPr>
        <w:pStyle w:val="ZUSTzmustartykuempunktem"/>
        <w:rPr>
          <w:rFonts w:ascii="Times New Roman" w:hAnsi="Times New Roman" w:cs="Times New Roman"/>
        </w:rPr>
      </w:pPr>
    </w:p>
    <w:p w14:paraId="199FBC5D" w14:textId="77777777" w:rsidR="00CD45CD" w:rsidRPr="00CD45CD" w:rsidRDefault="00CD45CD" w:rsidP="00CD45CD">
      <w:pPr>
        <w:pStyle w:val="ARTartustawynprozporzdzenia"/>
        <w:spacing w:before="0"/>
        <w:rPr>
          <w:rFonts w:ascii="Times New Roman" w:hAnsi="Times New Roman" w:cs="Times New Roman"/>
        </w:rPr>
      </w:pPr>
      <w:r w:rsidRPr="00CD45CD">
        <w:rPr>
          <w:rStyle w:val="Ppogrubienie"/>
          <w:rFonts w:ascii="Times New Roman" w:hAnsi="Times New Roman" w:cs="Times New Roman"/>
        </w:rPr>
        <w:t>Art. 2.</w:t>
      </w:r>
      <w:r w:rsidRPr="00CD45CD">
        <w:rPr>
          <w:rFonts w:ascii="Times New Roman" w:hAnsi="Times New Roman" w:cs="Times New Roman"/>
        </w:rPr>
        <w:t xml:space="preserve"> W ustawie z dnia 14 kwietnia 2016 r. o wstrzymaniu sprzedaży nieruchomości Zasobu Własności Rolnej Skarbu Państwa oraz o zmianie niektórych ustaw (Dz. U. z 2022 r. poz. 507 oraz z 2023 r. poz. 1688) wprowadza się następujące zmiany:</w:t>
      </w:r>
    </w:p>
    <w:p w14:paraId="2009EF90" w14:textId="77777777" w:rsidR="00CD45CD" w:rsidRPr="00CD45CD" w:rsidRDefault="00CD45CD" w:rsidP="00CD45CD">
      <w:pPr>
        <w:pStyle w:val="PKTpunkt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1)</w:t>
      </w:r>
      <w:r w:rsidRPr="00CD45CD">
        <w:rPr>
          <w:rFonts w:ascii="Times New Roman" w:hAnsi="Times New Roman" w:cs="Times New Roman"/>
        </w:rPr>
        <w:tab/>
        <w:t>w art. 2 w ust. 1 w pkt 1:</w:t>
      </w:r>
    </w:p>
    <w:p w14:paraId="38382E7F" w14:textId="77777777" w:rsidR="00CD45CD" w:rsidRPr="00CD45CD" w:rsidRDefault="00CD45CD" w:rsidP="00CD45CD">
      <w:pPr>
        <w:pStyle w:val="LITlitera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lastRenderedPageBreak/>
        <w:t>a)</w:t>
      </w:r>
      <w:r w:rsidRPr="00CD45CD">
        <w:rPr>
          <w:rFonts w:ascii="Times New Roman" w:hAnsi="Times New Roman" w:cs="Times New Roman"/>
        </w:rPr>
        <w:tab/>
        <w:t>w lit. c po wyrazie „terenu” dodaje się wyrazy „ , lub”,</w:t>
      </w:r>
    </w:p>
    <w:p w14:paraId="5E5C870A" w14:textId="77777777" w:rsidR="00CD45CD" w:rsidRPr="00CD45CD" w:rsidRDefault="00CD45CD" w:rsidP="00CD45CD">
      <w:pPr>
        <w:pStyle w:val="LITlitera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b)</w:t>
      </w:r>
      <w:r w:rsidRPr="00CD45CD">
        <w:rPr>
          <w:rFonts w:ascii="Times New Roman" w:hAnsi="Times New Roman" w:cs="Times New Roman"/>
        </w:rPr>
        <w:tab/>
        <w:t>dodaje się lit. d w brzmieniu:</w:t>
      </w:r>
    </w:p>
    <w:p w14:paraId="1EB580B9" w14:textId="77777777" w:rsidR="00CD45CD" w:rsidRPr="00CD45CD" w:rsidRDefault="00CD45CD" w:rsidP="00CD45CD">
      <w:pPr>
        <w:pStyle w:val="ZLITLITzmlitliter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„d)</w:t>
      </w:r>
      <w:r w:rsidRPr="00CD45CD">
        <w:rPr>
          <w:rFonts w:ascii="Times New Roman" w:hAnsi="Times New Roman" w:cs="Times New Roman"/>
        </w:rPr>
        <w:tab/>
        <w:t>planie ogólnym gminy”;</w:t>
      </w:r>
    </w:p>
    <w:p w14:paraId="3417F6E0" w14:textId="77777777" w:rsidR="00CD45CD" w:rsidRPr="00CD45CD" w:rsidRDefault="00CD45CD" w:rsidP="00CD45CD">
      <w:pPr>
        <w:pStyle w:val="PKTpunkt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2)</w:t>
      </w:r>
      <w:r w:rsidRPr="00CD45CD">
        <w:rPr>
          <w:rFonts w:ascii="Times New Roman" w:hAnsi="Times New Roman" w:cs="Times New Roman"/>
        </w:rPr>
        <w:tab/>
        <w:t>po art. 8 dodaje się art. 8a w brzmieniu:</w:t>
      </w:r>
    </w:p>
    <w:p w14:paraId="1666B5A9" w14:textId="77777777" w:rsidR="00CD45CD" w:rsidRDefault="00CD45CD" w:rsidP="00CD45CD">
      <w:pPr>
        <w:pStyle w:val="ZARTzmartartykuempunktem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„Art. 8a. Do dnia wejścia w życie planu ogólnego gminy w danej gminie przez plan ogólny gminy należy rozumieć studium uwarunkowań i kierunków zagospodarowania przestrzennego gminy.”.</w:t>
      </w:r>
    </w:p>
    <w:p w14:paraId="3643A28B" w14:textId="77777777" w:rsidR="00CD45CD" w:rsidRPr="00CD45CD" w:rsidRDefault="00CD45CD" w:rsidP="00CD45CD">
      <w:pPr>
        <w:pStyle w:val="ZARTzmartartykuempunktem"/>
        <w:rPr>
          <w:rStyle w:val="Ppogrubienie"/>
          <w:rFonts w:ascii="Times New Roman" w:hAnsi="Times New Roman" w:cs="Times New Roman"/>
        </w:rPr>
      </w:pPr>
    </w:p>
    <w:p w14:paraId="7D53D667" w14:textId="77777777" w:rsidR="00CD45CD" w:rsidRPr="00CD45CD" w:rsidRDefault="00CD45CD" w:rsidP="00CD45CD">
      <w:pPr>
        <w:pStyle w:val="ARTartustawynprozporzdzenia"/>
        <w:spacing w:before="0"/>
        <w:rPr>
          <w:rFonts w:ascii="Times New Roman" w:hAnsi="Times New Roman" w:cs="Times New Roman"/>
        </w:rPr>
      </w:pPr>
      <w:r w:rsidRPr="00CD45CD">
        <w:rPr>
          <w:rStyle w:val="Ppogrubienie"/>
          <w:rFonts w:ascii="Times New Roman" w:hAnsi="Times New Roman" w:cs="Times New Roman"/>
        </w:rPr>
        <w:t>Art. 3.</w:t>
      </w:r>
      <w:r w:rsidRPr="00CD45CD">
        <w:rPr>
          <w:rFonts w:ascii="Times New Roman" w:hAnsi="Times New Roman" w:cs="Times New Roman"/>
        </w:rPr>
        <w:t xml:space="preserve"> Ustawa wchodzi w życie po upływie 14 dni od dnia ogłoszenia, z wyjątkiem art. 1, który wchodzi w życie z dniem następującym po dniu ogłoszenia.</w:t>
      </w:r>
    </w:p>
    <w:p w14:paraId="14552E99" w14:textId="77777777" w:rsidR="00CD45CD" w:rsidRPr="00CD45CD" w:rsidRDefault="00CD45CD" w:rsidP="00CD45CD">
      <w:pPr>
        <w:rPr>
          <w:rFonts w:cs="Times New Roman"/>
        </w:rPr>
      </w:pPr>
      <w:r w:rsidRPr="00CD45CD">
        <w:rPr>
          <w:rFonts w:cs="Times New Roman"/>
        </w:rPr>
        <w:br w:type="page"/>
      </w:r>
    </w:p>
    <w:p w14:paraId="6D98224A" w14:textId="77777777" w:rsidR="00CD45CD" w:rsidRDefault="00CD45CD" w:rsidP="00CD45CD">
      <w:pPr>
        <w:pStyle w:val="OZNRODZAKTUtznustawalubrozporzdzenieiorganwydajcy"/>
        <w:spacing w:after="0"/>
        <w:rPr>
          <w:rFonts w:ascii="Times New Roman" w:hAnsi="Times New Roman"/>
        </w:rPr>
      </w:pPr>
      <w:r w:rsidRPr="00CD45CD">
        <w:rPr>
          <w:rFonts w:ascii="Times New Roman" w:hAnsi="Times New Roman"/>
        </w:rPr>
        <w:lastRenderedPageBreak/>
        <w:t>Uzasadnienie</w:t>
      </w:r>
    </w:p>
    <w:p w14:paraId="6787D5EC" w14:textId="77777777" w:rsidR="00CD45CD" w:rsidRPr="00CD45CD" w:rsidRDefault="00CD45CD" w:rsidP="00CD45CD">
      <w:pPr>
        <w:pStyle w:val="DATAAKTUdatauchwalenialubwydaniaaktu"/>
      </w:pPr>
    </w:p>
    <w:p w14:paraId="00686A59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Art. 1 pkt 1 i 2 projektu zmieniający art. 24 ust. 13 oraz art. 30 ust. 4a w ustawie z dnia 19 października 1991 r. o gospodarowaniu nieruchomościami rolnymi Skarbu Państwa.</w:t>
      </w:r>
    </w:p>
    <w:p w14:paraId="40C47661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 xml:space="preserve">W dniu 1 stycznia 2024 r. weszło w życie rozporządzenie Komisji (UE) 2023/2831 z dnia 13 grudnia 2023 r. w sprawie stosowania art. 107 i 108 Traktatu o funkcjonowaniu Unii Europejskiej do pomocy </w:t>
      </w:r>
      <w:r w:rsidRPr="00CD45CD">
        <w:rPr>
          <w:rStyle w:val="Kkursywa"/>
          <w:rFonts w:ascii="Times New Roman" w:hAnsi="Times New Roman" w:cs="Times New Roman"/>
        </w:rPr>
        <w:t>de minimis</w:t>
      </w:r>
      <w:r w:rsidRPr="00CD45CD">
        <w:rPr>
          <w:rFonts w:ascii="Times New Roman" w:hAnsi="Times New Roman" w:cs="Times New Roman"/>
        </w:rPr>
        <w:t xml:space="preserve"> (rozporządzenie 2023/2831), które zastąpiło obowiązujące do 31 grudnia 2023 r. rozporządzenie Komisji (UE) nr 1407/2013 z dnia 18 grudnia 2013 r. w sprawie stosowania art. 107 i 108 Traktatu o funkcjonowaniu Unii Europejskiej do pomocy </w:t>
      </w:r>
      <w:r w:rsidRPr="00CD45CD">
        <w:rPr>
          <w:rStyle w:val="Kkursywa"/>
          <w:rFonts w:ascii="Times New Roman" w:hAnsi="Times New Roman" w:cs="Times New Roman"/>
        </w:rPr>
        <w:t>de minimis</w:t>
      </w:r>
      <w:r w:rsidRPr="00CD45CD">
        <w:rPr>
          <w:rFonts w:ascii="Times New Roman" w:hAnsi="Times New Roman" w:cs="Times New Roman"/>
        </w:rPr>
        <w:t xml:space="preserve"> (rozporządzenie 1407/2013). W dniu 30 czerwca 2024 r. wygaśnie możliwość udzielania pomocy </w:t>
      </w:r>
      <w:r w:rsidRPr="00CD45CD">
        <w:rPr>
          <w:rStyle w:val="Kkursywa"/>
          <w:rFonts w:ascii="Times New Roman" w:hAnsi="Times New Roman" w:cs="Times New Roman"/>
        </w:rPr>
        <w:t>de minimis</w:t>
      </w:r>
      <w:r w:rsidRPr="00CD45CD">
        <w:rPr>
          <w:rFonts w:ascii="Times New Roman" w:hAnsi="Times New Roman" w:cs="Times New Roman"/>
        </w:rPr>
        <w:t xml:space="preserve"> na zasadach określonych w rozporządzeniu nr 1407/2013, a tym samym istnieje konieczność nowelizacji, najpóźniej do tego dnia, wszystkich aktów prawnych odwołujących się bezpośrednio do przepisów tego rozporządzenia. </w:t>
      </w:r>
    </w:p>
    <w:p w14:paraId="4BFE3ADC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 xml:space="preserve">Bezpośrednio do tego rozporządzenia odwołuje się art. 24 ust. 13 ustawy z dnia 19 października 1991 r. o gospodarowaniu nieruchomościami rolnymi Skarbu Państwa, dotyczący możliwości przeznaczania przez Krajowy Ośrodek Wsparcia Rolnictwa (dalej powoływanego jako: „KOWR”), podmiotom prowadzącym działalność gospodarczą lub podmiotom prowadzącym działalność wytwórczą w rolnictwie, środków finansowych uzyskanych z gospodarowania mieniem Zasobu Własności Rolnej Skarbu Państwa, na wsparcie przedsięwzięć, których cele są wymienione w tej ustawie (art. 24 ust. 10). </w:t>
      </w:r>
    </w:p>
    <w:p w14:paraId="7324E70E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 xml:space="preserve">Ponadto art. 30 ust. 4a ustawy z dnia 19 października 1991 r. o gospodarowaniu nieruchomościami rolnymi Skarbu Państwa, dotyczący obniżenia ceny sprzedaży nieruchomości wpisanej do rejestru zabytków, odwołuje się do nieobowiązującego już rozporządzenia Komisji (WE) nr 1998/2006 z dnia 15 grudnia 2006 r. w sprawie stosowania art. 87 i 88 Traktatu do pomocy </w:t>
      </w:r>
      <w:r w:rsidRPr="00CD45CD">
        <w:rPr>
          <w:rStyle w:val="Kkursywa"/>
          <w:rFonts w:ascii="Times New Roman" w:hAnsi="Times New Roman" w:cs="Times New Roman"/>
        </w:rPr>
        <w:t>de minimis</w:t>
      </w:r>
      <w:r w:rsidRPr="00CD45CD">
        <w:rPr>
          <w:rFonts w:ascii="Times New Roman" w:hAnsi="Times New Roman" w:cs="Times New Roman"/>
        </w:rPr>
        <w:t xml:space="preserve"> (Dz. Urz. UE L 379 z 28.12.2006, str. 5, z późn. zm.).</w:t>
      </w:r>
    </w:p>
    <w:p w14:paraId="69C0FBD2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 xml:space="preserve">Wobec powyższego istnieje konieczność znowelizowania ustawy z dnia 19 października </w:t>
      </w:r>
      <w:r w:rsidRPr="00CD45CD">
        <w:rPr>
          <w:rFonts w:ascii="Times New Roman" w:hAnsi="Times New Roman" w:cs="Times New Roman"/>
        </w:rPr>
        <w:br/>
        <w:t>1991 r. o gospodarowaniu nieruchomościami rolnymi Skarbu Państwa, poprzez zastąpienie w art. 24 ust. 13 tej ustawy rozporządzenia nr 1407/2013 oraz w art. 30 ust. 4a rozporządzenia nr 1998/2006 – rozporządzeniem 2023/2831.</w:t>
      </w:r>
    </w:p>
    <w:p w14:paraId="2B898B52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lastRenderedPageBreak/>
        <w:t>Art. 2 projektu dodający literę d w art. 2 w ust. 1 ustawy 14 kwietnia 2016 r. o wstrzymaniu sprzedaży nieruchomości Zasobu Własności Rolnej Skarbu Państwa oraz o zmianie niektórych ustaw.</w:t>
      </w:r>
    </w:p>
    <w:p w14:paraId="56B28F12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 xml:space="preserve">Ustawą z dnia 7 lipca 2023 r. o zmianie ustawy o planowaniu i zagospodarowaniu przestrzennym oraz niektóry innych ustaw (Dz. U. poz. 1688), wprowadzony został plan ogólny gminy jako obligatoryjnie sporządzany dokument planistyczny o zasięgu całej gminy. Plan ogólny jest aktem prawa miejscowego, który zastąpi studium uwarunkowań i kierunków zagospodarowania przestrzennego gminy, jako dokument, z którym badana będzie zgodność planów miejscowych, ale także decyzji o warunkach zabudowy. </w:t>
      </w:r>
    </w:p>
    <w:p w14:paraId="1B278DEB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W wyniku wskazanej nowelizacji w ustawie z dnia 14 kwietnia 2016 r. o wstrzymaniu sprzedaży nieruchomości rolnych Zasobu Własności Rolnej Skarbu Państwa oraz o zmianie niektórych ustaw w art. 2 w ust. 1 w pkt 1 uchylono lit. b, która wskazywała studium uwarunkowań i kierunków zagospodarowania przestrzennego gminy, jako jeden z dokumentów, na podstawie którego mogło nastąpić ustalenie, że dana nieruchomości ma charakter nierolny i co za tym idzie – sprzedaż takiej nieruchomości z Zasobu Własności Rolnej Skarbu Państwa nie podlegała przepisom tej ustawy, tj. jej sprzedaż nie była wstrzymana.</w:t>
      </w:r>
    </w:p>
    <w:p w14:paraId="577C24D2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Studium uwarunkowań i kierunków zagospodarowania przestrzennego gminy nie zostało jednak w tej ustawie zastąpione przez plan ogólny gminy, co w praktyce prowadzi do sytuacji, w której nieruchomość będąca zgodnie z tym studium nieruchomością nierolną, nie może być (poza okolicznościami wskazanymi w ustawie) sprzedana.</w:t>
      </w:r>
    </w:p>
    <w:p w14:paraId="509D6BD2" w14:textId="77777777" w:rsidR="00CD45CD" w:rsidRPr="00CD45CD" w:rsidDel="00816895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 xml:space="preserve">Zatem zachodzi potrzeba uzupełnienia ustawy z dnia 14 kwietnia 2016 r. o wstrzymaniu sprzedaży nieruchomości Zasobu Własności Rolnej Skarbu Państwa oraz o zmianie niektórych ustaw o plan ogólny gminy poprzez dodanie przepisu art. 8a </w:t>
      </w:r>
      <w:r w:rsidRPr="00CD45CD" w:rsidDel="00816895">
        <w:rPr>
          <w:rFonts w:ascii="Times New Roman" w:hAnsi="Times New Roman" w:cs="Times New Roman"/>
        </w:rPr>
        <w:t>wskazuj</w:t>
      </w:r>
      <w:r w:rsidRPr="00CD45CD">
        <w:rPr>
          <w:rFonts w:ascii="Times New Roman" w:hAnsi="Times New Roman" w:cs="Times New Roman"/>
        </w:rPr>
        <w:t>ącego</w:t>
      </w:r>
      <w:r w:rsidRPr="00CD45CD" w:rsidDel="00816895">
        <w:rPr>
          <w:rFonts w:ascii="Times New Roman" w:hAnsi="Times New Roman" w:cs="Times New Roman"/>
        </w:rPr>
        <w:t>, że do dnia wejścia w życie planu ogólnego gminy w danej gminie, przez plan ogólny gminy w ustawie z dnia 14 kwietnia 2016 r. o wstrzymaniu sprzedaży nieruchomości Zasobu Własności Rolnej Skarbu Państwa oraz o zmianie niektórych ustaw, należy rozumieć studium uwarunkowań i kierunków zagospodarowania przestrzennego gminy.</w:t>
      </w:r>
    </w:p>
    <w:p w14:paraId="423E47D5" w14:textId="77777777" w:rsidR="00CD45CD" w:rsidRPr="00CD45CD" w:rsidRDefault="00CD45CD" w:rsidP="00CD45CD">
      <w:pPr>
        <w:pStyle w:val="ARTartustawynprozporzdzeni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W związku z procedowaną zmianą nie ma konieczności wydawania rozporządzeń wykonawczych.</w:t>
      </w:r>
    </w:p>
    <w:p w14:paraId="6A568979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Projekt ustawy wywołuje pozytywne skutki społeczno-gospodarcze.</w:t>
      </w:r>
    </w:p>
    <w:p w14:paraId="14E4D1A8" w14:textId="77777777" w:rsidR="00CD45CD" w:rsidRPr="00CD45CD" w:rsidRDefault="00CD45CD" w:rsidP="00CD45CD">
      <w:pPr>
        <w:pStyle w:val="NIEARTTEKSTtekstnieartykuowanynppodstprawnarozplubpreambua"/>
        <w:spacing w:before="0"/>
        <w:rPr>
          <w:rFonts w:ascii="Times New Roman" w:hAnsi="Times New Roman" w:cs="Times New Roman"/>
        </w:rPr>
      </w:pPr>
      <w:r w:rsidRPr="00CD45CD">
        <w:rPr>
          <w:rFonts w:ascii="Times New Roman" w:hAnsi="Times New Roman" w:cs="Times New Roman"/>
        </w:rPr>
        <w:t>Projekt ustawy nie jest objęty prawem Unii Europejskiej.</w:t>
      </w:r>
    </w:p>
    <w:p w14:paraId="70859718" w14:textId="69EF105B" w:rsidR="00092E95" w:rsidRPr="00B64466" w:rsidRDefault="00092E95" w:rsidP="00092E95">
      <w:pPr>
        <w:pStyle w:val="ARTartustawynprozporzdzenia"/>
      </w:pPr>
      <w:r w:rsidRPr="00B64466">
        <w:t>Wprowadzenie przedmiotowych przepisów nie będzie miało wpływ</w:t>
      </w:r>
      <w:r w:rsidR="00355A9C">
        <w:t>u</w:t>
      </w:r>
      <w:r w:rsidRPr="00B64466">
        <w:t xml:space="preserve"> na działalność mikroprzedsiębiorców, małych i średnich przedsiębiorców.</w:t>
      </w:r>
    </w:p>
    <w:p w14:paraId="7B32A1EE" w14:textId="3AF7C27B" w:rsidR="00092E95" w:rsidRPr="00B64466" w:rsidRDefault="00092E95" w:rsidP="00092E95">
      <w:pPr>
        <w:pStyle w:val="ARTartustawynprozporzdzenia"/>
      </w:pPr>
      <w:r w:rsidRPr="00B64466">
        <w:lastRenderedPageBreak/>
        <w:t xml:space="preserve">Wejście w życie ustawy nie będzie miało wpływu na sektor finansów publicznych, w tym na budżety jednostek samorządu terytorialnego. </w:t>
      </w:r>
    </w:p>
    <w:p w14:paraId="0A8EDA57" w14:textId="77777777" w:rsidR="008A210F" w:rsidRPr="00CD45CD" w:rsidRDefault="008A210F" w:rsidP="00CD45CD">
      <w:pPr>
        <w:rPr>
          <w:rFonts w:cs="Times New Roman"/>
        </w:rPr>
      </w:pPr>
    </w:p>
    <w:sectPr w:rsidR="008A210F" w:rsidRPr="00CD45CD" w:rsidSect="00CD45CD"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D8A9" w14:textId="77777777" w:rsidR="000040BD" w:rsidRDefault="000040BD" w:rsidP="00CD45CD">
      <w:pPr>
        <w:spacing w:line="240" w:lineRule="auto"/>
      </w:pPr>
      <w:r>
        <w:separator/>
      </w:r>
    </w:p>
  </w:endnote>
  <w:endnote w:type="continuationSeparator" w:id="0">
    <w:p w14:paraId="1D84990B" w14:textId="77777777" w:rsidR="000040BD" w:rsidRDefault="000040BD" w:rsidP="00CD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42854" w14:textId="77777777" w:rsidR="000040BD" w:rsidRDefault="000040BD" w:rsidP="00CD45CD">
      <w:pPr>
        <w:spacing w:line="240" w:lineRule="auto"/>
      </w:pPr>
      <w:r>
        <w:separator/>
      </w:r>
    </w:p>
  </w:footnote>
  <w:footnote w:type="continuationSeparator" w:id="0">
    <w:p w14:paraId="530DC6D6" w14:textId="77777777" w:rsidR="000040BD" w:rsidRDefault="000040BD" w:rsidP="00CD45CD">
      <w:pPr>
        <w:spacing w:line="240" w:lineRule="auto"/>
      </w:pPr>
      <w:r>
        <w:continuationSeparator/>
      </w:r>
    </w:p>
  </w:footnote>
  <w:footnote w:id="1">
    <w:p w14:paraId="5FDD9A71" w14:textId="77777777" w:rsidR="00CD45CD" w:rsidRPr="00640921" w:rsidRDefault="00CD45CD" w:rsidP="00CD45CD">
      <w:pPr>
        <w:spacing w:line="240" w:lineRule="auto"/>
        <w:ind w:left="284" w:hanging="284"/>
        <w:rPr>
          <w:sz w:val="20"/>
        </w:rPr>
      </w:pPr>
      <w:r w:rsidRPr="00640921">
        <w:rPr>
          <w:rStyle w:val="Odwoanieprzypisudolnego"/>
          <w:sz w:val="20"/>
        </w:rPr>
        <w:footnoteRef/>
      </w:r>
      <w:r w:rsidRPr="00640921">
        <w:rPr>
          <w:sz w:val="20"/>
          <w:vertAlign w:val="superscript"/>
        </w:rPr>
        <w:t>)</w:t>
      </w:r>
      <w:r w:rsidRPr="00640921">
        <w:rPr>
          <w:sz w:val="20"/>
          <w:vertAlign w:val="superscript"/>
        </w:rPr>
        <w:tab/>
      </w:r>
      <w:r w:rsidRPr="00640921">
        <w:rPr>
          <w:sz w:val="20"/>
        </w:rPr>
        <w:t xml:space="preserve">Zmiany wymienionego rozporządzenia zostały ogłoszone w Dz. Urz. UE L 51I z 22.02.2019, str. 1, Dz. Urz. UE L 275 z 25.10.2022 oraz Dz. Urz. UE L 2023/2391 z 05.10.2023.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23D9B"/>
    <w:multiLevelType w:val="hybridMultilevel"/>
    <w:tmpl w:val="D5DC03BA"/>
    <w:lvl w:ilvl="0" w:tplc="2DEE8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713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D"/>
    <w:rsid w:val="000040BD"/>
    <w:rsid w:val="00021A01"/>
    <w:rsid w:val="00092E95"/>
    <w:rsid w:val="00093A87"/>
    <w:rsid w:val="0019015F"/>
    <w:rsid w:val="00355A9C"/>
    <w:rsid w:val="0039646C"/>
    <w:rsid w:val="003A421D"/>
    <w:rsid w:val="004D1BD9"/>
    <w:rsid w:val="005A2C4D"/>
    <w:rsid w:val="005B21CA"/>
    <w:rsid w:val="00626F76"/>
    <w:rsid w:val="0066692C"/>
    <w:rsid w:val="007B59CE"/>
    <w:rsid w:val="008A210F"/>
    <w:rsid w:val="00983B01"/>
    <w:rsid w:val="00AF4051"/>
    <w:rsid w:val="00B64466"/>
    <w:rsid w:val="00CD45C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94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C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2C4D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2C4D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C4D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C4D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C4D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C4D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C4D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C4D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C4D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A2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C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C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C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C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C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C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C4D"/>
    <w:pPr>
      <w:widowControl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C4D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A2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C4D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A2C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C4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A2C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C4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C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C4D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semiHidden/>
    <w:qFormat/>
    <w:rsid w:val="00CD45C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CD45C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CD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CD45C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D45CD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CD45C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CD45C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D45C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CD45C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CD45C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CD45CD"/>
    <w:pPr>
      <w:ind w:left="986" w:hanging="476"/>
    </w:pPr>
  </w:style>
  <w:style w:type="paragraph" w:customStyle="1" w:styleId="ZLITLITzmlitliter">
    <w:name w:val="Z_LIT/LIT – zm. lit. literą"/>
    <w:basedOn w:val="LITlitera"/>
    <w:uiPriority w:val="48"/>
    <w:qFormat/>
    <w:rsid w:val="00CD45CD"/>
    <w:pPr>
      <w:ind w:left="1463"/>
    </w:p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D45CD"/>
    <w:pPr>
      <w:ind w:firstLine="0"/>
    </w:pPr>
    <w:rPr>
      <w:rFonts w:ascii="Times New Roman" w:hAnsi="Times New Roman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D45CD"/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CD45CD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CD45CD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CD45CD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D45CD"/>
    <w:rPr>
      <w:i/>
    </w:rPr>
  </w:style>
  <w:style w:type="paragraph" w:styleId="Stopka">
    <w:name w:val="footer"/>
    <w:basedOn w:val="Normalny"/>
    <w:link w:val="StopkaZnak"/>
    <w:uiPriority w:val="99"/>
    <w:unhideWhenUsed/>
    <w:rsid w:val="00CD45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CD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2024-06-28T11:02:00Z</dcterms:created>
  <dcterms:modified xsi:type="dcterms:W3CDTF">2024-06-28T11:02:00Z</dcterms:modified>
</cp:coreProperties>
</file>